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92B2F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15DB0D2C" w14:textId="0F952056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4</w:t>
      </w:r>
    </w:p>
    <w:p w14:paraId="45B6366E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Écrire en lettres : </w:t>
      </w:r>
      <w:r w:rsidR="00121EFF" w:rsidRPr="00121EFF">
        <w:rPr>
          <w:rFonts w:asciiTheme="minorHAnsi" w:hAnsiTheme="minorHAnsi" w:cstheme="minorHAnsi"/>
          <w:noProof/>
          <w:position w:val="-10"/>
          <w:sz w:val="22"/>
          <w:szCs w:val="22"/>
        </w:rPr>
        <w:object w:dxaOrig="3000" w:dyaOrig="300" w14:anchorId="795C9C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142.4pt;height:13.45pt;mso-width-percent:0;mso-height-percent:0;mso-width-percent:0;mso-height-percent:0" o:ole="">
            <v:imagedata r:id="rId8" o:title=""/>
          </v:shape>
          <o:OLEObject Type="Embed" ProgID="Equation.DSMT4" ShapeID="_x0000_i1032" DrawAspect="Content" ObjectID="_1791207904" r:id="rId9"/>
        </w:object>
      </w:r>
    </w:p>
    <w:p w14:paraId="120A54DD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31664AE6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3C542CA2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D4273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0AFD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2024-10-23T13:12:00Z</dcterms:modified>
</cp:coreProperties>
</file>